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5" w:rsidRPr="00AB2773" w:rsidRDefault="003358C5" w:rsidP="003358C5">
      <w:pPr>
        <w:jc w:val="center"/>
        <w:rPr>
          <w:sz w:val="28"/>
          <w:szCs w:val="28"/>
        </w:rPr>
      </w:pPr>
      <w:r>
        <w:rPr>
          <w:sz w:val="28"/>
          <w:szCs w:val="28"/>
        </w:rPr>
        <w:t>Notes on the Accounts for 2018</w:t>
      </w:r>
    </w:p>
    <w:p w:rsidR="003358C5" w:rsidRDefault="003358C5" w:rsidP="003358C5">
      <w:pPr>
        <w:rPr>
          <w:b/>
          <w:szCs w:val="24"/>
        </w:rPr>
      </w:pPr>
    </w:p>
    <w:p w:rsidR="003358C5" w:rsidRPr="0074721C" w:rsidRDefault="003358C5" w:rsidP="003358C5">
      <w:pPr>
        <w:rPr>
          <w:szCs w:val="24"/>
        </w:rPr>
      </w:pPr>
      <w:r>
        <w:rPr>
          <w:szCs w:val="24"/>
        </w:rPr>
        <w:t xml:space="preserve">Donations again showed a healthy increase, due both to individuals who left significant sums, and </w:t>
      </w:r>
      <w:proofErr w:type="gramStart"/>
      <w:r>
        <w:rPr>
          <w:szCs w:val="24"/>
        </w:rPr>
        <w:t>to</w:t>
      </w:r>
      <w:proofErr w:type="gramEnd"/>
      <w:r>
        <w:rPr>
          <w:szCs w:val="24"/>
        </w:rPr>
        <w:t xml:space="preserve"> many of you who rounded up subscriptions and other purchases. We are grateful to all of you. RBKC’s City Living, Local Life fund donated the cost of designing the children’s page in our newsletter. The increase in advertising revenue is a quirk of timing. We changed the process for producing the quarterly newsletter to deliver much improved value for money. Grants to the park, at £20,379, were lower than expected due to a couple of council projects being postponed until 2019.</w:t>
      </w:r>
    </w:p>
    <w:p w:rsidR="002D6BE5" w:rsidRDefault="002D6BE5">
      <w:bookmarkStart w:id="0" w:name="_GoBack"/>
      <w:bookmarkEnd w:id="0"/>
    </w:p>
    <w:sectPr w:rsidR="002D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C5"/>
    <w:rsid w:val="002D6BE5"/>
    <w:rsid w:val="00335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5"/>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5"/>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1</cp:revision>
  <dcterms:created xsi:type="dcterms:W3CDTF">2019-02-24T19:01:00Z</dcterms:created>
  <dcterms:modified xsi:type="dcterms:W3CDTF">2019-02-24T19:01:00Z</dcterms:modified>
</cp:coreProperties>
</file>